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spacing w:line="240" w:lineRule="auto"/>
        <w:jc w:val="left"/>
        <w:rPr>
          <w:rFonts w:ascii="Verdana" w:cs="Verdana" w:eastAsia="Verdana" w:hAnsi="Verdana"/>
          <w:b w:val="1"/>
          <w:sz w:val="36"/>
          <w:szCs w:val="36"/>
        </w:rPr>
      </w:pPr>
      <w:r w:rsidDel="00000000" w:rsidR="00000000" w:rsidRPr="00000000">
        <w:rPr>
          <w:rtl w:val="0"/>
        </w:rPr>
      </w:r>
    </w:p>
    <w:p w:rsidR="00000000" w:rsidDel="00000000" w:rsidP="00000000" w:rsidRDefault="00000000" w:rsidRPr="00000000" w14:paraId="00000002">
      <w:pPr>
        <w:pageBreakBefore w:val="0"/>
        <w:spacing w:line="240" w:lineRule="auto"/>
        <w:jc w:val="center"/>
        <w:rPr>
          <w:rFonts w:ascii="Verdana" w:cs="Verdana" w:eastAsia="Verdana" w:hAnsi="Verdana"/>
          <w:b w:val="1"/>
          <w:sz w:val="36"/>
          <w:szCs w:val="36"/>
        </w:rPr>
      </w:pPr>
      <w:r w:rsidDel="00000000" w:rsidR="00000000" w:rsidRPr="00000000">
        <w:rPr>
          <w:rFonts w:ascii="Verdana" w:cs="Verdana" w:eastAsia="Verdana" w:hAnsi="Verdana"/>
          <w:b w:val="1"/>
          <w:sz w:val="36"/>
          <w:szCs w:val="36"/>
          <w:rtl w:val="0"/>
        </w:rPr>
        <w:t xml:space="preserve">MSAC Executive &amp;</w:t>
      </w:r>
    </w:p>
    <w:p w:rsidR="00000000" w:rsidDel="00000000" w:rsidP="00000000" w:rsidRDefault="00000000" w:rsidRPr="00000000" w14:paraId="00000003">
      <w:pPr>
        <w:pageBreakBefore w:val="0"/>
        <w:spacing w:line="240" w:lineRule="auto"/>
        <w:jc w:val="center"/>
        <w:rPr>
          <w:rFonts w:ascii="Verdana" w:cs="Verdana" w:eastAsia="Verdana" w:hAnsi="Verdana"/>
          <w:sz w:val="36"/>
          <w:szCs w:val="36"/>
        </w:rPr>
      </w:pPr>
      <w:r w:rsidDel="00000000" w:rsidR="00000000" w:rsidRPr="00000000">
        <w:rPr>
          <w:rFonts w:ascii="Verdana" w:cs="Verdana" w:eastAsia="Verdana" w:hAnsi="Verdana"/>
          <w:b w:val="1"/>
          <w:sz w:val="36"/>
          <w:szCs w:val="36"/>
          <w:rtl w:val="0"/>
        </w:rPr>
        <w:t xml:space="preserve"> Program Planning &amp; Evaluation Committee</w:t>
      </w:r>
      <w:r w:rsidDel="00000000" w:rsidR="00000000" w:rsidRPr="00000000">
        <w:rPr>
          <w:rtl w:val="0"/>
        </w:rPr>
      </w:r>
    </w:p>
    <w:p w:rsidR="00000000" w:rsidDel="00000000" w:rsidP="00000000" w:rsidRDefault="00000000" w:rsidRPr="00000000" w14:paraId="00000004">
      <w:pPr>
        <w:pageBreakBefore w:val="0"/>
        <w:spacing w:line="240" w:lineRule="auto"/>
        <w:jc w:val="center"/>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05">
      <w:pPr>
        <w:pageBreakBefore w:val="0"/>
        <w:spacing w:line="240" w:lineRule="auto"/>
        <w:jc w:val="cente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MEETING MINUTES </w:t>
      </w:r>
    </w:p>
    <w:p w:rsidR="00000000" w:rsidDel="00000000" w:rsidP="00000000" w:rsidRDefault="00000000" w:rsidRPr="00000000" w14:paraId="00000006">
      <w:pPr>
        <w:pageBreakBefore w:val="0"/>
        <w:spacing w:line="240" w:lineRule="auto"/>
        <w:jc w:val="cente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February 23, 2021</w:t>
      </w:r>
    </w:p>
    <w:p w:rsidR="00000000" w:rsidDel="00000000" w:rsidP="00000000" w:rsidRDefault="00000000" w:rsidRPr="00000000" w14:paraId="00000007">
      <w:pPr>
        <w:pageBreakBefore w:val="0"/>
        <w:spacing w:line="240" w:lineRule="auto"/>
        <w:jc w:val="center"/>
        <w:rPr>
          <w:rFonts w:ascii="Verdana" w:cs="Verdana" w:eastAsia="Verdana" w:hAnsi="Verdana"/>
          <w:sz w:val="28"/>
          <w:szCs w:val="28"/>
        </w:rPr>
      </w:pPr>
      <w:r w:rsidDel="00000000" w:rsidR="00000000" w:rsidRPr="00000000">
        <w:rPr>
          <w:rFonts w:ascii="Verdana" w:cs="Verdana" w:eastAsia="Verdana" w:hAnsi="Verdana"/>
          <w:sz w:val="28"/>
          <w:szCs w:val="28"/>
          <w:rtl w:val="0"/>
        </w:rPr>
        <w:t xml:space="preserve">Google Meet</w:t>
      </w:r>
    </w:p>
    <w:p w:rsidR="00000000" w:rsidDel="00000000" w:rsidP="00000000" w:rsidRDefault="00000000" w:rsidRPr="00000000" w14:paraId="00000008">
      <w:pPr>
        <w:pageBreakBefore w:val="0"/>
        <w:pBdr>
          <w:bottom w:color="c00000" w:space="1" w:sz="24" w:val="single"/>
        </w:pBdr>
        <w:spacing w:line="240" w:lineRule="auto"/>
        <w:rPr>
          <w:rFonts w:ascii="Verdana" w:cs="Verdana" w:eastAsia="Verdana" w:hAnsi="Verdana"/>
          <w:sz w:val="28"/>
          <w:szCs w:val="28"/>
        </w:rPr>
      </w:pPr>
      <w:r w:rsidDel="00000000" w:rsidR="00000000" w:rsidRPr="00000000">
        <w:rPr>
          <w:rtl w:val="0"/>
        </w:rPr>
      </w:r>
    </w:p>
    <w:p w:rsidR="00000000" w:rsidDel="00000000" w:rsidP="00000000" w:rsidRDefault="00000000" w:rsidRPr="00000000" w14:paraId="00000009">
      <w:pPr>
        <w:pageBreakBefore w:val="0"/>
        <w:spacing w:line="240" w:lineRule="auto"/>
        <w:rPr>
          <w:rFonts w:ascii="Verdana" w:cs="Verdana" w:eastAsia="Verdana" w:hAnsi="Verdana"/>
          <w:sz w:val="20"/>
          <w:szCs w:val="20"/>
        </w:rPr>
      </w:pPr>
      <w:r w:rsidDel="00000000" w:rsidR="00000000" w:rsidRPr="00000000">
        <w:rPr>
          <w:rFonts w:ascii="Verdana" w:cs="Verdana" w:eastAsia="Verdana" w:hAnsi="Verdana"/>
          <w:sz w:val="20"/>
          <w:szCs w:val="20"/>
          <w:rtl w:val="0"/>
        </w:rPr>
        <w:t xml:space="preserve">The Executive Committee shall have general supervision of the affairs of the Council, make recommendations to the Council, and shall perform other duties as specified…</w:t>
      </w:r>
    </w:p>
    <w:p w:rsidR="00000000" w:rsidDel="00000000" w:rsidP="00000000" w:rsidRDefault="00000000" w:rsidRPr="00000000" w14:paraId="0000000A">
      <w:pPr>
        <w:pageBreakBefore w:val="0"/>
        <w:spacing w:line="240" w:lineRule="auto"/>
        <w:rPr>
          <w:rFonts w:ascii="Verdana" w:cs="Verdana" w:eastAsia="Verdana" w:hAnsi="Verdana"/>
          <w:sz w:val="20"/>
          <w:szCs w:val="20"/>
        </w:rPr>
      </w:pPr>
      <w:r w:rsidDel="00000000" w:rsidR="00000000" w:rsidRPr="00000000">
        <w:rPr>
          <w:rtl w:val="0"/>
        </w:rPr>
      </w:r>
    </w:p>
    <w:p w:rsidR="00000000" w:rsidDel="00000000" w:rsidP="00000000" w:rsidRDefault="00000000" w:rsidRPr="00000000" w14:paraId="0000000B">
      <w:pPr>
        <w:pageBreakBefore w:val="0"/>
        <w:spacing w:line="240" w:lineRule="auto"/>
        <w:rPr>
          <w:sz w:val="20"/>
          <w:szCs w:val="20"/>
        </w:rPr>
      </w:pPr>
      <w:r w:rsidDel="00000000" w:rsidR="00000000" w:rsidRPr="00000000">
        <w:rPr>
          <w:rFonts w:ascii="Verdana" w:cs="Verdana" w:eastAsia="Verdana" w:hAnsi="Verdana"/>
          <w:sz w:val="20"/>
          <w:szCs w:val="20"/>
          <w:rtl w:val="0"/>
        </w:rPr>
        <w:t xml:space="preserve">It shall be the duty of the Program Planning &amp; Evaluation committee to review and assess, as necessary, on-going programs maintained by the Council; to study new program initiatives for Council consideration; to direct the Council’s on-going planning process with respect to policies, programs, and Council operations; to make recommendations for Council action on these matters when appropriate; and to undertake such other duties as the Council may from time to time direct. The committee shall consist of no fewer than three members.</w:t>
      </w:r>
      <w:r w:rsidDel="00000000" w:rsidR="00000000" w:rsidRPr="00000000">
        <w:rPr>
          <w:sz w:val="20"/>
          <w:szCs w:val="20"/>
          <w:rtl w:val="0"/>
        </w:rPr>
        <w:t xml:space="preserve"> </w:t>
      </w:r>
    </w:p>
    <w:p w:rsidR="00000000" w:rsidDel="00000000" w:rsidP="00000000" w:rsidRDefault="00000000" w:rsidRPr="00000000" w14:paraId="0000000C">
      <w:pPr>
        <w:pageBreakBefore w:val="0"/>
        <w:spacing w:line="240" w:lineRule="auto"/>
        <w:rPr>
          <w:rFonts w:ascii="Verdana" w:cs="Verdana" w:eastAsia="Verdana" w:hAnsi="Verdana"/>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Called to Order. </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Executive Director Report/Q&amp;A</w:t>
      </w: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sz w:val="24"/>
          <w:szCs w:val="24"/>
          <w:u w:val="none"/>
        </w:rPr>
      </w:pPr>
      <w:r w:rsidDel="00000000" w:rsidR="00000000" w:rsidRPr="00000000">
        <w:rPr>
          <w:rFonts w:ascii="Verdana" w:cs="Verdana" w:eastAsia="Verdana" w:hAnsi="Verdana"/>
          <w:sz w:val="24"/>
          <w:szCs w:val="24"/>
          <w:rtl w:val="0"/>
        </w:rPr>
        <w:t xml:space="preserve">MSAC Professional Development </w:t>
      </w:r>
    </w:p>
    <w:p w:rsidR="00000000" w:rsidDel="00000000" w:rsidP="00000000" w:rsidRDefault="00000000" w:rsidRPr="00000000" w14:paraId="0000001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Verdana" w:cs="Verdana" w:eastAsia="Verdana" w:hAnsi="Verdana"/>
          <w:sz w:val="24"/>
          <w:szCs w:val="24"/>
          <w:u w:val="none"/>
        </w:rPr>
      </w:pPr>
      <w:r w:rsidDel="00000000" w:rsidR="00000000" w:rsidRPr="00000000">
        <w:rPr>
          <w:rFonts w:ascii="Verdana" w:cs="Verdana" w:eastAsia="Verdana" w:hAnsi="Verdana"/>
          <w:sz w:val="24"/>
          <w:szCs w:val="24"/>
          <w:rtl w:val="0"/>
        </w:rPr>
        <w:t xml:space="preserve">March, 2020- June 2021, 6,204 participants attended 181 virtual professional development offerings by MSAC </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sz w:val="24"/>
          <w:szCs w:val="24"/>
          <w:u w:val="none"/>
        </w:rPr>
      </w:pPr>
      <w:r w:rsidDel="00000000" w:rsidR="00000000" w:rsidRPr="00000000">
        <w:rPr>
          <w:rFonts w:ascii="Verdana" w:cs="Verdana" w:eastAsia="Verdana" w:hAnsi="Verdana"/>
          <w:sz w:val="24"/>
          <w:szCs w:val="24"/>
          <w:rtl w:val="0"/>
        </w:rPr>
        <w:t xml:space="preserve">Staffing Update</w:t>
      </w:r>
    </w:p>
    <w:p w:rsidR="00000000" w:rsidDel="00000000" w:rsidP="00000000" w:rsidRDefault="00000000" w:rsidRPr="00000000" w14:paraId="0000001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Verdana" w:cs="Verdana" w:eastAsia="Verdana" w:hAnsi="Verdana"/>
          <w:sz w:val="24"/>
          <w:szCs w:val="24"/>
          <w:u w:val="none"/>
        </w:rPr>
      </w:pPr>
      <w:r w:rsidDel="00000000" w:rsidR="00000000" w:rsidRPr="00000000">
        <w:rPr>
          <w:rFonts w:ascii="Verdana" w:cs="Verdana" w:eastAsia="Verdana" w:hAnsi="Verdana"/>
          <w:sz w:val="24"/>
          <w:szCs w:val="24"/>
          <w:rtl w:val="0"/>
        </w:rPr>
        <w:t xml:space="preserve">Fiscal Officer position, Program Director County Arts Councils and Arts and Entertainment Districts position are both vacant and awaiting to be filled. Intern positions for the following programs also remain vacant: Marketing, Traditions and Grants</w:t>
        <w:br w:type="textWrapping"/>
        <w:tab/>
        <w:tab/>
        <w:tab/>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Grants Procedures Revisions, Dana Parsons, Laura Weiss, Emily Sollenberger</w:t>
      </w:r>
    </w:p>
    <w:p w:rsidR="00000000" w:rsidDel="00000000" w:rsidP="00000000" w:rsidRDefault="00000000" w:rsidRPr="00000000" w14:paraId="0000001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sz w:val="24"/>
          <w:szCs w:val="24"/>
          <w:u w:val="none"/>
        </w:rPr>
      </w:pPr>
      <w:r w:rsidDel="00000000" w:rsidR="00000000" w:rsidRPr="00000000">
        <w:rPr>
          <w:rFonts w:ascii="Verdana" w:cs="Verdana" w:eastAsia="Verdana" w:hAnsi="Verdana"/>
          <w:sz w:val="24"/>
          <w:szCs w:val="24"/>
          <w:rtl w:val="0"/>
        </w:rPr>
        <w:t xml:space="preserve">Organization Eligibility</w:t>
      </w:r>
    </w:p>
    <w:p w:rsidR="00000000" w:rsidDel="00000000" w:rsidP="00000000" w:rsidRDefault="00000000" w:rsidRPr="00000000" w14:paraId="00000017">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Verdana" w:cs="Verdana" w:eastAsia="Verdana" w:hAnsi="Verdana"/>
          <w:sz w:val="24"/>
          <w:szCs w:val="24"/>
          <w:u w:val="none"/>
        </w:rPr>
      </w:pPr>
      <w:r w:rsidDel="00000000" w:rsidR="00000000" w:rsidRPr="00000000">
        <w:rPr>
          <w:rFonts w:ascii="Verdana" w:cs="Verdana" w:eastAsia="Verdana" w:hAnsi="Verdana"/>
          <w:sz w:val="24"/>
          <w:szCs w:val="24"/>
          <w:rtl w:val="0"/>
        </w:rPr>
        <w:t xml:space="preserve">Current Eligibility - Organization located in Maryland or has “significant programming in Maryland”  </w:t>
      </w:r>
    </w:p>
    <w:p w:rsidR="00000000" w:rsidDel="00000000" w:rsidP="00000000" w:rsidRDefault="00000000" w:rsidRPr="00000000" w14:paraId="00000018">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Verdana" w:cs="Verdana" w:eastAsia="Verdana" w:hAnsi="Verdana"/>
          <w:sz w:val="24"/>
          <w:szCs w:val="24"/>
          <w:u w:val="none"/>
        </w:rPr>
      </w:pPr>
      <w:r w:rsidDel="00000000" w:rsidR="00000000" w:rsidRPr="00000000">
        <w:rPr>
          <w:rFonts w:ascii="Verdana" w:cs="Verdana" w:eastAsia="Verdana" w:hAnsi="Verdana"/>
          <w:sz w:val="24"/>
          <w:szCs w:val="24"/>
          <w:rtl w:val="0"/>
        </w:rPr>
        <w:t xml:space="preserve">To increase transparency in the application process, MSAC staff is looking to define “significant programming in Maryland” as more than X% of programming occuring in Maryland.</w:t>
      </w:r>
    </w:p>
    <w:p w:rsidR="00000000" w:rsidDel="00000000" w:rsidP="00000000" w:rsidRDefault="00000000" w:rsidRPr="00000000" w14:paraId="0000001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sz w:val="24"/>
          <w:szCs w:val="24"/>
          <w:u w:val="none"/>
        </w:rPr>
      </w:pPr>
      <w:r w:rsidDel="00000000" w:rsidR="00000000" w:rsidRPr="00000000">
        <w:rPr>
          <w:rFonts w:ascii="Verdana" w:cs="Verdana" w:eastAsia="Verdana" w:hAnsi="Verdana"/>
          <w:sz w:val="24"/>
          <w:szCs w:val="24"/>
          <w:rtl w:val="0"/>
        </w:rPr>
        <w:t xml:space="preserve">Grants for Organizations Tiered Funding Model </w:t>
      </w:r>
    </w:p>
    <w:p w:rsidR="00000000" w:rsidDel="00000000" w:rsidP="00000000" w:rsidRDefault="00000000" w:rsidRPr="00000000" w14:paraId="0000001A">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Verdana" w:cs="Verdana" w:eastAsia="Verdana" w:hAnsi="Verdana"/>
          <w:sz w:val="24"/>
          <w:szCs w:val="24"/>
          <w:u w:val="none"/>
        </w:rPr>
      </w:pPr>
      <w:r w:rsidDel="00000000" w:rsidR="00000000" w:rsidRPr="00000000">
        <w:rPr>
          <w:rFonts w:ascii="Verdana" w:cs="Verdana" w:eastAsia="Verdana" w:hAnsi="Verdana"/>
          <w:sz w:val="24"/>
          <w:szCs w:val="24"/>
          <w:rtl w:val="0"/>
        </w:rPr>
        <w:t xml:space="preserve">Current model - Grant Amount = Total Allowable Income X Panel Score X Cap Allocation% (same for all) </w:t>
      </w:r>
    </w:p>
    <w:p w:rsidR="00000000" w:rsidDel="00000000" w:rsidP="00000000" w:rsidRDefault="00000000" w:rsidRPr="00000000" w14:paraId="0000001B">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Verdana" w:cs="Verdana" w:eastAsia="Verdana" w:hAnsi="Verdana"/>
          <w:sz w:val="24"/>
          <w:szCs w:val="24"/>
          <w:u w:val="none"/>
        </w:rPr>
      </w:pPr>
      <w:r w:rsidDel="00000000" w:rsidR="00000000" w:rsidRPr="00000000">
        <w:rPr>
          <w:rFonts w:ascii="Verdana" w:cs="Verdana" w:eastAsia="Verdana" w:hAnsi="Verdana"/>
          <w:sz w:val="24"/>
          <w:szCs w:val="24"/>
          <w:rtl w:val="0"/>
        </w:rPr>
        <w:t xml:space="preserve">Proposed tiered model - Cap Allocation % is largest (Level 1) organizations and decreases for largest (Level 5) organizations over 5 years</w:t>
      </w:r>
    </w:p>
    <w:p w:rsidR="00000000" w:rsidDel="00000000" w:rsidP="00000000" w:rsidRDefault="00000000" w:rsidRPr="00000000" w14:paraId="0000001C">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Verdana" w:cs="Verdana" w:eastAsia="Verdana" w:hAnsi="Verdana"/>
          <w:sz w:val="24"/>
          <w:szCs w:val="24"/>
          <w:u w:val="none"/>
        </w:rPr>
      </w:pPr>
      <w:r w:rsidDel="00000000" w:rsidR="00000000" w:rsidRPr="00000000">
        <w:rPr>
          <w:rFonts w:ascii="Verdana" w:cs="Verdana" w:eastAsia="Verdana" w:hAnsi="Verdana"/>
          <w:sz w:val="24"/>
          <w:szCs w:val="24"/>
          <w:rtl w:val="0"/>
        </w:rPr>
        <w:t xml:space="preserve">Justification - Champion and equitable funding model arts organizations</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Verdana" w:cs="Verdana" w:eastAsia="Verdana" w:hAnsi="Verdana"/>
          <w:sz w:val="24"/>
          <w:szCs w:val="24"/>
          <w:u w:val="none"/>
        </w:rPr>
      </w:pPr>
      <w:r w:rsidDel="00000000" w:rsidR="00000000" w:rsidRPr="00000000">
        <w:rPr>
          <w:rFonts w:ascii="Verdana" w:cs="Verdana" w:eastAsia="Verdana" w:hAnsi="Verdana"/>
          <w:sz w:val="24"/>
          <w:szCs w:val="24"/>
          <w:rtl w:val="0"/>
        </w:rPr>
        <w:t xml:space="preserve">Grants for Organizations Revisions </w:t>
      </w:r>
    </w:p>
    <w:p w:rsidR="00000000" w:rsidDel="00000000" w:rsidP="00000000" w:rsidRDefault="00000000" w:rsidRPr="00000000" w14:paraId="0000001F">
      <w:pPr>
        <w:widowControl w:val="0"/>
        <w:ind w:left="720" w:firstLine="0"/>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20">
      <w:pPr>
        <w:widowControl w:val="0"/>
        <w:numPr>
          <w:ilvl w:val="0"/>
          <w:numId w:val="2"/>
        </w:numPr>
        <w:ind w:left="720" w:hanging="360"/>
        <w:rPr>
          <w:rFonts w:ascii="Verdana" w:cs="Verdana" w:eastAsia="Verdana" w:hAnsi="Verdana"/>
          <w:sz w:val="24"/>
          <w:szCs w:val="24"/>
          <w:u w:val="none"/>
        </w:rPr>
      </w:pPr>
      <w:r w:rsidDel="00000000" w:rsidR="00000000" w:rsidRPr="00000000">
        <w:rPr>
          <w:rFonts w:ascii="Verdana" w:cs="Verdana" w:eastAsia="Verdana" w:hAnsi="Verdana"/>
          <w:sz w:val="24"/>
          <w:szCs w:val="24"/>
          <w:rtl w:val="0"/>
        </w:rPr>
        <w:t xml:space="preserve">Grants for Organizations Funding: Higher Ed Institutions and Tuition-Based Organizations</w:t>
      </w:r>
      <w:r w:rsidDel="00000000" w:rsidR="00000000" w:rsidRPr="00000000">
        <w:rPr>
          <w:rtl w:val="0"/>
        </w:rPr>
      </w:r>
    </w:p>
    <w:p w:rsidR="00000000" w:rsidDel="00000000" w:rsidP="00000000" w:rsidRDefault="00000000" w:rsidRPr="00000000" w14:paraId="00000021">
      <w:pPr>
        <w:widowControl w:val="0"/>
        <w:numPr>
          <w:ilvl w:val="1"/>
          <w:numId w:val="2"/>
        </w:numPr>
        <w:ind w:left="1440" w:hanging="360"/>
        <w:rPr>
          <w:rFonts w:ascii="Verdana" w:cs="Verdana" w:eastAsia="Verdana" w:hAnsi="Verdana"/>
          <w:sz w:val="24"/>
          <w:szCs w:val="24"/>
          <w:u w:val="none"/>
        </w:rPr>
      </w:pPr>
      <w:r w:rsidDel="00000000" w:rsidR="00000000" w:rsidRPr="00000000">
        <w:rPr>
          <w:rFonts w:ascii="Verdana" w:cs="Verdana" w:eastAsia="Verdana" w:hAnsi="Verdana"/>
          <w:sz w:val="24"/>
          <w:szCs w:val="24"/>
          <w:rtl w:val="0"/>
        </w:rPr>
        <w:t xml:space="preserve">Objective: To align grandfathered organizations with the correct funding programs.</w:t>
      </w:r>
    </w:p>
    <w:p w:rsidR="00000000" w:rsidDel="00000000" w:rsidP="00000000" w:rsidRDefault="00000000" w:rsidRPr="00000000" w14:paraId="00000022">
      <w:pPr>
        <w:widowControl w:val="0"/>
        <w:numPr>
          <w:ilvl w:val="1"/>
          <w:numId w:val="2"/>
        </w:numPr>
        <w:ind w:left="1440" w:hanging="360"/>
        <w:rPr>
          <w:rFonts w:ascii="Verdana" w:cs="Verdana" w:eastAsia="Verdana" w:hAnsi="Verdana"/>
          <w:sz w:val="24"/>
          <w:szCs w:val="24"/>
          <w:u w:val="none"/>
        </w:rPr>
      </w:pPr>
      <w:r w:rsidDel="00000000" w:rsidR="00000000" w:rsidRPr="00000000">
        <w:rPr>
          <w:rFonts w:ascii="Verdana" w:cs="Verdana" w:eastAsia="Verdana" w:hAnsi="Verdana"/>
          <w:sz w:val="24"/>
          <w:szCs w:val="24"/>
          <w:rtl w:val="0"/>
        </w:rPr>
        <w:t xml:space="preserve">Adding questions to GFO application:</w:t>
      </w:r>
    </w:p>
    <w:p w:rsidR="00000000" w:rsidDel="00000000" w:rsidP="00000000" w:rsidRDefault="00000000" w:rsidRPr="00000000" w14:paraId="00000023">
      <w:pPr>
        <w:widowControl w:val="0"/>
        <w:numPr>
          <w:ilvl w:val="2"/>
          <w:numId w:val="2"/>
        </w:numPr>
        <w:ind w:left="2160" w:hanging="360"/>
        <w:rPr>
          <w:rFonts w:ascii="Verdana" w:cs="Verdana" w:eastAsia="Verdana" w:hAnsi="Verdana"/>
          <w:sz w:val="24"/>
          <w:szCs w:val="24"/>
          <w:u w:val="none"/>
        </w:rPr>
      </w:pPr>
      <w:r w:rsidDel="00000000" w:rsidR="00000000" w:rsidRPr="00000000">
        <w:rPr>
          <w:rFonts w:ascii="Verdana" w:cs="Verdana" w:eastAsia="Verdana" w:hAnsi="Verdana"/>
          <w:sz w:val="24"/>
          <w:szCs w:val="24"/>
          <w:rtl w:val="0"/>
        </w:rPr>
        <w:t xml:space="preserve">1: Identify % of programming serving the community (other than tuition-paying constituents).</w:t>
      </w:r>
    </w:p>
    <w:p w:rsidR="00000000" w:rsidDel="00000000" w:rsidP="00000000" w:rsidRDefault="00000000" w:rsidRPr="00000000" w14:paraId="00000024">
      <w:pPr>
        <w:widowControl w:val="0"/>
        <w:numPr>
          <w:ilvl w:val="1"/>
          <w:numId w:val="3"/>
        </w:numPr>
        <w:ind w:left="144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Based on the response, the staff recommends the correct funding program.</w:t>
      </w:r>
    </w:p>
    <w:p w:rsidR="00000000" w:rsidDel="00000000" w:rsidP="00000000" w:rsidRDefault="00000000" w:rsidRPr="00000000" w14:paraId="00000025">
      <w:pPr>
        <w:widowControl w:val="0"/>
        <w:numPr>
          <w:ilvl w:val="2"/>
          <w:numId w:val="3"/>
        </w:numPr>
        <w:ind w:left="2160" w:hanging="360"/>
        <w:rPr>
          <w:rFonts w:ascii="Verdana" w:cs="Verdana" w:eastAsia="Verdana" w:hAnsi="Verdana"/>
          <w:sz w:val="24"/>
          <w:szCs w:val="24"/>
          <w:u w:val="none"/>
        </w:rPr>
      </w:pPr>
      <w:r w:rsidDel="00000000" w:rsidR="00000000" w:rsidRPr="00000000">
        <w:rPr>
          <w:rFonts w:ascii="Verdana" w:cs="Verdana" w:eastAsia="Verdana" w:hAnsi="Verdana"/>
          <w:sz w:val="24"/>
          <w:szCs w:val="24"/>
          <w:rtl w:val="0"/>
        </w:rPr>
        <w:t xml:space="preserve">2: List the programming that reaches beyond tuition-based constituents.</w:t>
      </w:r>
    </w:p>
    <w:p w:rsidR="00000000" w:rsidDel="00000000" w:rsidP="00000000" w:rsidRDefault="00000000" w:rsidRPr="00000000" w14:paraId="00000026">
      <w:pPr>
        <w:widowControl w:val="0"/>
        <w:numPr>
          <w:ilvl w:val="1"/>
          <w:numId w:val="3"/>
        </w:numPr>
        <w:ind w:left="1440" w:hanging="36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Based on the response, the grantee may change to an Arts Program model (if not already), or phase out of the GFO Program. </w:t>
      </w:r>
    </w:p>
    <w:p w:rsidR="00000000" w:rsidDel="00000000" w:rsidP="00000000" w:rsidRDefault="00000000" w:rsidRPr="00000000" w14:paraId="00000027">
      <w:pPr>
        <w:widowControl w:val="0"/>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28">
      <w:pPr>
        <w:widowControl w:val="0"/>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Next steps: March Listening Session for May PPE Committee Meeting.</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24"/>
          <w:szCs w:val="24"/>
        </w:rPr>
      </w:pPr>
      <w:r w:rsidDel="00000000" w:rsidR="00000000" w:rsidRPr="00000000">
        <w:rPr>
          <w:rFonts w:ascii="Verdana" w:cs="Verdana" w:eastAsia="Verdana" w:hAnsi="Verdana"/>
          <w:sz w:val="24"/>
          <w:szCs w:val="24"/>
          <w:rtl w:val="0"/>
        </w:rPr>
        <w:t xml:space="preserve">Adjourn</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24"/>
          <w:szCs w:val="24"/>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sz w:val="24"/>
          <w:szCs w:val="24"/>
        </w:rPr>
      </w:pPr>
      <w:r w:rsidDel="00000000" w:rsidR="00000000" w:rsidRPr="00000000">
        <w:rPr>
          <w:rtl w:val="0"/>
        </w:rPr>
      </w:r>
    </w:p>
    <w:sectPr>
      <w:headerReference r:id="rId6"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Verdana"/>
  <w:font w:name="Cambri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D">
    <w:pPr>
      <w:pageBreakBefore w:val="0"/>
      <w:tabs>
        <w:tab w:val="center" w:pos="4320"/>
        <w:tab w:val="right" w:pos="8640"/>
      </w:tabs>
      <w:spacing w:line="240" w:lineRule="auto"/>
      <w:jc w:val="center"/>
      <w:rPr/>
    </w:pPr>
    <w:r w:rsidDel="00000000" w:rsidR="00000000" w:rsidRPr="00000000">
      <w:rPr>
        <w:rFonts w:ascii="Cambria" w:cs="Cambria" w:eastAsia="Cambria" w:hAnsi="Cambria"/>
        <w:sz w:val="24"/>
        <w:szCs w:val="24"/>
      </w:rPr>
      <w:drawing>
        <wp:inline distB="114300" distT="114300" distL="114300" distR="114300">
          <wp:extent cx="2826834" cy="804863"/>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826834" cy="804863"/>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right"/>
      <w:pPr>
        <w:ind w:left="720" w:hanging="360"/>
      </w:pPr>
      <w:rPr>
        <w:rFonts w:ascii="Arial" w:cs="Arial" w:eastAsia="Arial" w:hAnsi="Arial"/>
        <w:b w:val="0"/>
        <w:i w:val="0"/>
        <w:smallCaps w:val="0"/>
        <w:strike w:val="0"/>
        <w:color w:val="000000"/>
        <w:sz w:val="28"/>
        <w:szCs w:val="28"/>
        <w:u w:val="none"/>
        <w:shd w:fill="auto" w:val="clear"/>
        <w:vertAlign w:val="baseline"/>
      </w:rPr>
    </w:lvl>
    <w:lvl w:ilvl="1">
      <w:start w:val="1"/>
      <w:numFmt w:val="bullet"/>
      <w:lvlText w:val="○"/>
      <w:lvlJc w:val="right"/>
      <w:pPr>
        <w:ind w:left="1440" w:hanging="360"/>
      </w:pPr>
      <w:rPr>
        <w:rFonts w:ascii="Arial" w:cs="Arial" w:eastAsia="Arial" w:hAnsi="Arial"/>
        <w:b w:val="0"/>
        <w:i w:val="0"/>
        <w:smallCaps w:val="0"/>
        <w:strike w:val="0"/>
        <w:color w:val="000000"/>
        <w:sz w:val="28"/>
        <w:szCs w:val="28"/>
        <w:u w:val="none"/>
        <w:shd w:fill="auto" w:val="clear"/>
        <w:vertAlign w:val="baseline"/>
      </w:rPr>
    </w:lvl>
    <w:lvl w:ilvl="2">
      <w:start w:val="1"/>
      <w:numFmt w:val="bullet"/>
      <w:lvlText w:val="■"/>
      <w:lvlJc w:val="right"/>
      <w:pPr>
        <w:ind w:left="2160" w:hanging="360"/>
      </w:pPr>
      <w:rPr>
        <w:rFonts w:ascii="Arial" w:cs="Arial" w:eastAsia="Arial" w:hAnsi="Arial"/>
        <w:b w:val="0"/>
        <w:i w:val="0"/>
        <w:smallCaps w:val="0"/>
        <w:strike w:val="0"/>
        <w:color w:val="000000"/>
        <w:sz w:val="28"/>
        <w:szCs w:val="28"/>
        <w:u w:val="none"/>
        <w:shd w:fill="auto" w:val="clear"/>
        <w:vertAlign w:val="baseline"/>
      </w:rPr>
    </w:lvl>
    <w:lvl w:ilvl="3">
      <w:start w:val="1"/>
      <w:numFmt w:val="bullet"/>
      <w:lvlText w:val="●"/>
      <w:lvlJc w:val="right"/>
      <w:pPr>
        <w:ind w:left="2880" w:hanging="360"/>
      </w:pPr>
      <w:rPr>
        <w:rFonts w:ascii="Arial" w:cs="Arial" w:eastAsia="Arial" w:hAnsi="Arial"/>
        <w:b w:val="0"/>
        <w:i w:val="0"/>
        <w:smallCaps w:val="0"/>
        <w:strike w:val="0"/>
        <w:color w:val="000000"/>
        <w:sz w:val="28"/>
        <w:szCs w:val="28"/>
        <w:u w:val="none"/>
        <w:shd w:fill="auto" w:val="clear"/>
        <w:vertAlign w:val="baseline"/>
      </w:rPr>
    </w:lvl>
    <w:lvl w:ilvl="4">
      <w:start w:val="1"/>
      <w:numFmt w:val="bullet"/>
      <w:lvlText w:val="○"/>
      <w:lvlJc w:val="right"/>
      <w:pPr>
        <w:ind w:left="3600" w:hanging="360"/>
      </w:pPr>
      <w:rPr>
        <w:rFonts w:ascii="Arial" w:cs="Arial" w:eastAsia="Arial" w:hAnsi="Arial"/>
        <w:b w:val="0"/>
        <w:i w:val="0"/>
        <w:smallCaps w:val="0"/>
        <w:strike w:val="0"/>
        <w:color w:val="000000"/>
        <w:sz w:val="28"/>
        <w:szCs w:val="28"/>
        <w:u w:val="none"/>
        <w:shd w:fill="auto" w:val="clear"/>
        <w:vertAlign w:val="baseline"/>
      </w:rPr>
    </w:lvl>
    <w:lvl w:ilvl="5">
      <w:start w:val="1"/>
      <w:numFmt w:val="bullet"/>
      <w:lvlText w:val="■"/>
      <w:lvlJc w:val="right"/>
      <w:pPr>
        <w:ind w:left="4320" w:hanging="360"/>
      </w:pPr>
      <w:rPr>
        <w:rFonts w:ascii="Arial" w:cs="Arial" w:eastAsia="Arial" w:hAnsi="Arial"/>
        <w:b w:val="0"/>
        <w:i w:val="0"/>
        <w:smallCaps w:val="0"/>
        <w:strike w:val="0"/>
        <w:color w:val="000000"/>
        <w:sz w:val="28"/>
        <w:szCs w:val="28"/>
        <w:u w:val="none"/>
        <w:shd w:fill="auto" w:val="clear"/>
        <w:vertAlign w:val="baseline"/>
      </w:rPr>
    </w:lvl>
    <w:lvl w:ilvl="6">
      <w:start w:val="1"/>
      <w:numFmt w:val="bullet"/>
      <w:lvlText w:val="●"/>
      <w:lvlJc w:val="right"/>
      <w:pPr>
        <w:ind w:left="5040" w:hanging="360"/>
      </w:pPr>
      <w:rPr>
        <w:rFonts w:ascii="Arial" w:cs="Arial" w:eastAsia="Arial" w:hAnsi="Arial"/>
        <w:b w:val="0"/>
        <w:i w:val="0"/>
        <w:smallCaps w:val="0"/>
        <w:strike w:val="0"/>
        <w:color w:val="000000"/>
        <w:sz w:val="28"/>
        <w:szCs w:val="28"/>
        <w:u w:val="none"/>
        <w:shd w:fill="auto" w:val="clear"/>
        <w:vertAlign w:val="baseline"/>
      </w:rPr>
    </w:lvl>
    <w:lvl w:ilvl="7">
      <w:start w:val="1"/>
      <w:numFmt w:val="bullet"/>
      <w:lvlText w:val="○"/>
      <w:lvlJc w:val="right"/>
      <w:pPr>
        <w:ind w:left="5760" w:hanging="360"/>
      </w:pPr>
      <w:rPr>
        <w:rFonts w:ascii="Arial" w:cs="Arial" w:eastAsia="Arial" w:hAnsi="Arial"/>
        <w:b w:val="0"/>
        <w:i w:val="0"/>
        <w:smallCaps w:val="0"/>
        <w:strike w:val="0"/>
        <w:color w:val="000000"/>
        <w:sz w:val="28"/>
        <w:szCs w:val="28"/>
        <w:u w:val="none"/>
        <w:shd w:fill="auto" w:val="clear"/>
        <w:vertAlign w:val="baseline"/>
      </w:rPr>
    </w:lvl>
    <w:lvl w:ilvl="8">
      <w:start w:val="1"/>
      <w:numFmt w:val="bullet"/>
      <w:lvlText w:val="■"/>
      <w:lvlJc w:val="right"/>
      <w:pPr>
        <w:ind w:left="6480" w:hanging="360"/>
      </w:pPr>
      <w:rPr>
        <w:rFonts w:ascii="Arial" w:cs="Arial" w:eastAsia="Arial" w:hAnsi="Arial"/>
        <w:b w:val="0"/>
        <w:i w:val="0"/>
        <w:smallCaps w:val="0"/>
        <w:strike w:val="0"/>
        <w:color w:val="000000"/>
        <w:sz w:val="28"/>
        <w:szCs w:val="28"/>
        <w:u w:val="none"/>
        <w:shd w:fill="auto" w:val="clear"/>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